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705"/>
        <w:tblW w:w="9576" w:type="dxa"/>
        <w:tblBorders>
          <w:bottom w:val="single" w:sz="48" w:space="0" w:color="auto"/>
        </w:tblBorders>
        <w:tblLayout w:type="fixed"/>
        <w:tblLook w:val="0000" w:firstRow="0" w:lastRow="0" w:firstColumn="0" w:lastColumn="0" w:noHBand="0" w:noVBand="0"/>
      </w:tblPr>
      <w:tblGrid>
        <w:gridCol w:w="2268"/>
        <w:gridCol w:w="4320"/>
        <w:gridCol w:w="2970"/>
        <w:gridCol w:w="18"/>
      </w:tblGrid>
      <w:tr w:rsidR="008F22DC" w:rsidRPr="006369D3" w14:paraId="0572D52B" w14:textId="77777777" w:rsidTr="007032A1">
        <w:trPr>
          <w:cantSplit/>
          <w:trHeight w:hRule="exact" w:val="660"/>
        </w:trPr>
        <w:tc>
          <w:tcPr>
            <w:tcW w:w="2268" w:type="dxa"/>
            <w:vMerge w:val="restart"/>
            <w:tcBorders>
              <w:bottom w:val="single" w:sz="24" w:space="0" w:color="auto"/>
            </w:tcBorders>
            <w:vAlign w:val="bottom"/>
          </w:tcPr>
          <w:p w14:paraId="2D963AD8" w14:textId="77777777" w:rsidR="008F22DC" w:rsidRPr="006369D3" w:rsidRDefault="008F22DC" w:rsidP="007032A1">
            <w:pPr>
              <w:spacing w:after="110" w:line="240" w:lineRule="auto"/>
              <w:rPr>
                <w:rFonts w:ascii="New York" w:eastAsia="Times New Roman" w:hAnsi="New York" w:cs="Times New Roman"/>
                <w:sz w:val="24"/>
                <w:szCs w:val="20"/>
              </w:rPr>
            </w:pPr>
            <w:r w:rsidRPr="006369D3">
              <w:rPr>
                <w:rFonts w:ascii="New York" w:eastAsia="Times New Roman" w:hAnsi="New York" w:cs="Times New Roman"/>
                <w:noProof/>
                <w:sz w:val="24"/>
                <w:szCs w:val="20"/>
              </w:rPr>
              <w:drawing>
                <wp:inline distT="0" distB="0" distL="0" distR="0" wp14:anchorId="706561EF" wp14:editId="7C6AF226">
                  <wp:extent cx="1295400" cy="647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7190" cy="648595"/>
                          </a:xfrm>
                          <a:prstGeom prst="rect">
                            <a:avLst/>
                          </a:prstGeom>
                          <a:noFill/>
                          <a:ln>
                            <a:noFill/>
                          </a:ln>
                        </pic:spPr>
                      </pic:pic>
                    </a:graphicData>
                  </a:graphic>
                </wp:inline>
              </w:drawing>
            </w:r>
          </w:p>
        </w:tc>
        <w:tc>
          <w:tcPr>
            <w:tcW w:w="4320" w:type="dxa"/>
            <w:tcBorders>
              <w:bottom w:val="nil"/>
            </w:tcBorders>
          </w:tcPr>
          <w:p w14:paraId="775C2CB5" w14:textId="77777777" w:rsidR="008F22DC" w:rsidRPr="006369D3" w:rsidRDefault="008F22DC" w:rsidP="007032A1">
            <w:pPr>
              <w:spacing w:after="0" w:line="240" w:lineRule="auto"/>
              <w:rPr>
                <w:rFonts w:ascii="New York" w:eastAsia="Times New Roman" w:hAnsi="New York" w:cs="Times New Roman"/>
                <w:sz w:val="24"/>
                <w:szCs w:val="20"/>
              </w:rPr>
            </w:pPr>
          </w:p>
        </w:tc>
        <w:tc>
          <w:tcPr>
            <w:tcW w:w="2988" w:type="dxa"/>
            <w:gridSpan w:val="2"/>
            <w:tcBorders>
              <w:bottom w:val="nil"/>
            </w:tcBorders>
          </w:tcPr>
          <w:p w14:paraId="262C1D75" w14:textId="77777777" w:rsidR="008F22DC" w:rsidRPr="006369D3" w:rsidRDefault="008F22DC" w:rsidP="007032A1">
            <w:pPr>
              <w:keepNext/>
              <w:spacing w:after="0" w:line="240" w:lineRule="auto"/>
              <w:outlineLvl w:val="1"/>
              <w:rPr>
                <w:rFonts w:ascii="Arial" w:eastAsia="Times New Roman" w:hAnsi="Arial" w:cs="Times New Roman"/>
                <w:b/>
                <w:sz w:val="32"/>
                <w:szCs w:val="20"/>
              </w:rPr>
            </w:pPr>
          </w:p>
        </w:tc>
      </w:tr>
      <w:tr w:rsidR="008F22DC" w:rsidRPr="006369D3" w14:paraId="7CDDD451" w14:textId="77777777" w:rsidTr="007032A1">
        <w:trPr>
          <w:cantSplit/>
          <w:trHeight w:val="480"/>
        </w:trPr>
        <w:tc>
          <w:tcPr>
            <w:tcW w:w="2268" w:type="dxa"/>
            <w:vMerge/>
            <w:tcBorders>
              <w:top w:val="single" w:sz="18" w:space="0" w:color="auto"/>
              <w:bottom w:val="single" w:sz="24" w:space="0" w:color="auto"/>
            </w:tcBorders>
          </w:tcPr>
          <w:p w14:paraId="216886EC" w14:textId="77777777" w:rsidR="008F22DC" w:rsidRPr="006369D3" w:rsidRDefault="008F22DC" w:rsidP="007032A1">
            <w:pPr>
              <w:spacing w:after="0" w:line="240" w:lineRule="auto"/>
              <w:rPr>
                <w:rFonts w:ascii="New York" w:eastAsia="Times New Roman" w:hAnsi="New York" w:cs="Times New Roman"/>
                <w:sz w:val="24"/>
                <w:szCs w:val="20"/>
              </w:rPr>
            </w:pPr>
            <w:r w:rsidRPr="006369D3">
              <w:rPr>
                <w:rFonts w:ascii="Arial" w:eastAsia="Times New Roman" w:hAnsi="Arial" w:cs="Times New Roman"/>
                <w:noProof/>
                <w:sz w:val="20"/>
                <w:szCs w:val="20"/>
              </w:rPr>
              <w:drawing>
                <wp:inline distT="0" distB="0" distL="0" distR="0" wp14:anchorId="2DD8A467" wp14:editId="6B27BBFD">
                  <wp:extent cx="812165" cy="419100"/>
                  <wp:effectExtent l="0" t="0" r="698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165" cy="419100"/>
                          </a:xfrm>
                          <a:prstGeom prst="rect">
                            <a:avLst/>
                          </a:prstGeom>
                          <a:noFill/>
                          <a:ln>
                            <a:noFill/>
                          </a:ln>
                        </pic:spPr>
                      </pic:pic>
                    </a:graphicData>
                  </a:graphic>
                </wp:inline>
              </w:drawing>
            </w:r>
          </w:p>
        </w:tc>
        <w:tc>
          <w:tcPr>
            <w:tcW w:w="4320" w:type="dxa"/>
            <w:tcBorders>
              <w:top w:val="nil"/>
              <w:bottom w:val="single" w:sz="24" w:space="0" w:color="auto"/>
            </w:tcBorders>
            <w:vAlign w:val="bottom"/>
          </w:tcPr>
          <w:p w14:paraId="420CDD55" w14:textId="77777777" w:rsidR="008F22DC" w:rsidRPr="006369D3" w:rsidRDefault="008F22DC" w:rsidP="007032A1">
            <w:pPr>
              <w:keepNext/>
              <w:spacing w:after="70" w:line="240" w:lineRule="auto"/>
              <w:outlineLvl w:val="0"/>
              <w:rPr>
                <w:rFonts w:ascii="Arial" w:eastAsia="Times New Roman" w:hAnsi="Arial" w:cs="Times New Roman"/>
                <w:i/>
                <w:szCs w:val="20"/>
              </w:rPr>
            </w:pPr>
            <w:r w:rsidRPr="006369D3">
              <w:rPr>
                <w:rFonts w:ascii="Arial" w:eastAsia="Times New Roman" w:hAnsi="Arial" w:cs="Times New Roman"/>
                <w:i/>
                <w:szCs w:val="20"/>
              </w:rPr>
              <w:t>Demand Moore Reliability</w:t>
            </w:r>
          </w:p>
        </w:tc>
        <w:tc>
          <w:tcPr>
            <w:tcW w:w="2988" w:type="dxa"/>
            <w:gridSpan w:val="2"/>
            <w:tcBorders>
              <w:top w:val="nil"/>
              <w:bottom w:val="single" w:sz="24" w:space="0" w:color="auto"/>
            </w:tcBorders>
            <w:vAlign w:val="center"/>
          </w:tcPr>
          <w:p w14:paraId="0293D84E" w14:textId="77777777" w:rsidR="008F22DC" w:rsidRPr="006369D3" w:rsidRDefault="008F22DC" w:rsidP="007032A1">
            <w:pPr>
              <w:keepNext/>
              <w:spacing w:before="140" w:after="0" w:line="240" w:lineRule="auto"/>
              <w:outlineLvl w:val="1"/>
              <w:rPr>
                <w:rFonts w:ascii="Arial" w:eastAsia="Times New Roman" w:hAnsi="Arial" w:cs="Times New Roman"/>
                <w:b/>
                <w:sz w:val="16"/>
                <w:szCs w:val="20"/>
              </w:rPr>
            </w:pPr>
            <w:r w:rsidRPr="006369D3">
              <w:rPr>
                <w:rFonts w:ascii="Arial" w:eastAsia="Times New Roman" w:hAnsi="Arial" w:cs="Times New Roman"/>
                <w:b/>
                <w:sz w:val="16"/>
                <w:szCs w:val="20"/>
              </w:rPr>
              <w:t>Moore Industries-International, Inc.</w:t>
            </w:r>
          </w:p>
        </w:tc>
      </w:tr>
      <w:tr w:rsidR="008F22DC" w:rsidRPr="006369D3" w14:paraId="0069A658" w14:textId="77777777" w:rsidTr="007032A1">
        <w:tblPrEx>
          <w:tblBorders>
            <w:bottom w:val="none" w:sz="0" w:space="0" w:color="auto"/>
          </w:tblBorders>
        </w:tblPrEx>
        <w:trPr>
          <w:gridAfter w:val="1"/>
          <w:wAfter w:w="18" w:type="dxa"/>
          <w:cantSplit/>
          <w:trHeight w:hRule="exact" w:val="1113"/>
        </w:trPr>
        <w:tc>
          <w:tcPr>
            <w:tcW w:w="6588" w:type="dxa"/>
            <w:gridSpan w:val="2"/>
            <w:vAlign w:val="bottom"/>
          </w:tcPr>
          <w:p w14:paraId="6527192B" w14:textId="77777777" w:rsidR="008F22DC" w:rsidRPr="006369D3" w:rsidRDefault="008F22DC" w:rsidP="007032A1">
            <w:pPr>
              <w:spacing w:after="0" w:line="240" w:lineRule="auto"/>
              <w:rPr>
                <w:rFonts w:ascii="Arial" w:eastAsia="Times New Roman" w:hAnsi="Arial" w:cs="Arial"/>
                <w:szCs w:val="20"/>
              </w:rPr>
            </w:pPr>
            <w:r w:rsidRPr="006369D3">
              <w:rPr>
                <w:rFonts w:ascii="Arial" w:eastAsia="Times New Roman" w:hAnsi="Arial" w:cs="Arial"/>
                <w:b/>
                <w:szCs w:val="20"/>
              </w:rPr>
              <w:br/>
              <w:t>Editorial Contact</w:t>
            </w:r>
            <w:r w:rsidRPr="006369D3">
              <w:rPr>
                <w:rFonts w:ascii="Arial" w:eastAsia="Times New Roman" w:hAnsi="Arial" w:cs="Arial"/>
                <w:szCs w:val="20"/>
              </w:rPr>
              <w:t xml:space="preserve">: </w:t>
            </w:r>
          </w:p>
          <w:p w14:paraId="27FD6D33" w14:textId="77777777" w:rsidR="008F22DC" w:rsidRPr="006369D3" w:rsidRDefault="008F22DC" w:rsidP="007032A1">
            <w:pPr>
              <w:spacing w:after="0" w:line="240" w:lineRule="auto"/>
              <w:rPr>
                <w:rFonts w:ascii="Arial" w:eastAsia="Times New Roman" w:hAnsi="Arial" w:cs="Arial"/>
                <w:szCs w:val="20"/>
              </w:rPr>
            </w:pPr>
            <w:r w:rsidRPr="006369D3">
              <w:rPr>
                <w:rFonts w:ascii="Arial" w:eastAsia="Times New Roman" w:hAnsi="Arial" w:cs="Arial"/>
                <w:szCs w:val="20"/>
              </w:rPr>
              <w:t>David Burgett, (818) 894-7111 Ext 546</w:t>
            </w:r>
          </w:p>
          <w:p w14:paraId="40530A8E" w14:textId="77777777" w:rsidR="008F22DC" w:rsidRPr="006369D3" w:rsidRDefault="008F22DC" w:rsidP="007032A1">
            <w:pPr>
              <w:spacing w:after="0" w:line="240" w:lineRule="auto"/>
              <w:rPr>
                <w:rFonts w:ascii="Arial" w:eastAsia="Times New Roman" w:hAnsi="Arial" w:cs="Arial"/>
                <w:strike/>
                <w:szCs w:val="20"/>
              </w:rPr>
            </w:pPr>
            <w:r w:rsidRPr="006369D3">
              <w:rPr>
                <w:rFonts w:ascii="Arial" w:eastAsia="Times New Roman" w:hAnsi="Arial" w:cs="Arial"/>
                <w:szCs w:val="20"/>
              </w:rPr>
              <w:t>miicontent@miinet.com</w:t>
            </w:r>
            <w:hyperlink r:id="rId6" w:history="1"/>
          </w:p>
          <w:p w14:paraId="4CC8B8EF" w14:textId="77777777" w:rsidR="008F22DC" w:rsidRPr="006369D3" w:rsidRDefault="008F22DC" w:rsidP="007032A1">
            <w:pPr>
              <w:spacing w:after="0" w:line="360" w:lineRule="auto"/>
              <w:rPr>
                <w:rFonts w:ascii="Arial" w:eastAsia="Times New Roman" w:hAnsi="Arial" w:cs="Arial"/>
                <w:szCs w:val="20"/>
              </w:rPr>
            </w:pPr>
          </w:p>
          <w:p w14:paraId="4B6B9060" w14:textId="77777777" w:rsidR="008F22DC" w:rsidRPr="006369D3" w:rsidRDefault="008F22DC" w:rsidP="007032A1">
            <w:pPr>
              <w:spacing w:after="0" w:line="360" w:lineRule="auto"/>
              <w:rPr>
                <w:rFonts w:ascii="Arial" w:eastAsia="Times New Roman" w:hAnsi="Arial" w:cs="Arial"/>
                <w:szCs w:val="20"/>
              </w:rPr>
            </w:pPr>
          </w:p>
          <w:p w14:paraId="788E8DC3" w14:textId="77777777" w:rsidR="008F22DC" w:rsidRPr="006369D3" w:rsidRDefault="008F22DC" w:rsidP="007032A1">
            <w:pPr>
              <w:spacing w:before="160" w:after="120" w:line="240" w:lineRule="auto"/>
              <w:rPr>
                <w:rFonts w:ascii="Arial" w:eastAsia="Times New Roman" w:hAnsi="Arial" w:cs="Times New Roman"/>
                <w:sz w:val="20"/>
                <w:szCs w:val="20"/>
              </w:rPr>
            </w:pPr>
          </w:p>
        </w:tc>
        <w:tc>
          <w:tcPr>
            <w:tcW w:w="2970" w:type="dxa"/>
            <w:tcBorders>
              <w:left w:val="nil"/>
            </w:tcBorders>
            <w:vAlign w:val="center"/>
          </w:tcPr>
          <w:p w14:paraId="0FE15858" w14:textId="77777777" w:rsidR="008F22DC" w:rsidRPr="006369D3" w:rsidRDefault="008F22DC" w:rsidP="007032A1">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16650 Schoenborn Street</w:t>
            </w:r>
          </w:p>
          <w:p w14:paraId="5306EE07" w14:textId="77777777" w:rsidR="008F22DC" w:rsidRPr="006369D3" w:rsidRDefault="008F22DC" w:rsidP="007032A1">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North Hills, CA 91343-6196</w:t>
            </w:r>
          </w:p>
          <w:p w14:paraId="4BE65603" w14:textId="77777777" w:rsidR="008F22DC" w:rsidRPr="006369D3" w:rsidRDefault="008F22DC" w:rsidP="007032A1">
            <w:pPr>
              <w:spacing w:after="0" w:line="240" w:lineRule="auto"/>
              <w:rPr>
                <w:rFonts w:ascii="Arial" w:eastAsia="Times New Roman" w:hAnsi="Arial" w:cs="Times New Roman"/>
                <w:sz w:val="8"/>
                <w:szCs w:val="20"/>
              </w:rPr>
            </w:pPr>
          </w:p>
          <w:p w14:paraId="5E7E9844" w14:textId="77777777" w:rsidR="008F22DC" w:rsidRPr="006369D3" w:rsidRDefault="008F22DC" w:rsidP="007032A1">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Telephone (818) 894-7111</w:t>
            </w:r>
          </w:p>
          <w:p w14:paraId="39A4471D" w14:textId="77777777" w:rsidR="008F22DC" w:rsidRPr="006369D3" w:rsidRDefault="008F22DC" w:rsidP="007032A1">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FAX (818) 891-2816</w:t>
            </w:r>
          </w:p>
          <w:p w14:paraId="6E48F847" w14:textId="77777777" w:rsidR="008F22DC" w:rsidRPr="006369D3" w:rsidRDefault="008F22DC" w:rsidP="007032A1">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E-mail: info@miinet.com</w:t>
            </w:r>
          </w:p>
        </w:tc>
      </w:tr>
    </w:tbl>
    <w:p w14:paraId="701F3CD5" w14:textId="77777777" w:rsidR="008F22DC" w:rsidRDefault="008F22DC" w:rsidP="008F22DC"/>
    <w:p w14:paraId="796DA06D" w14:textId="77777777" w:rsidR="008F22DC" w:rsidRDefault="008F22DC" w:rsidP="008F22DC">
      <w:pPr>
        <w:rPr>
          <w:rFonts w:ascii="Arial" w:eastAsia="Times New Roman" w:hAnsi="Arial" w:cs="Arial"/>
          <w:b/>
          <w:sz w:val="24"/>
          <w:szCs w:val="24"/>
        </w:rPr>
      </w:pPr>
      <w:r w:rsidRPr="005830BD">
        <w:rPr>
          <w:rFonts w:ascii="Arial" w:eastAsia="Times New Roman" w:hAnsi="Arial" w:cs="Arial"/>
          <w:b/>
          <w:sz w:val="24"/>
          <w:szCs w:val="24"/>
        </w:rPr>
        <w:t>FOR IMMEDIATE RELEASE</w:t>
      </w:r>
    </w:p>
    <w:p w14:paraId="74AA75B1" w14:textId="0E1E9D66" w:rsidR="007E776A" w:rsidRDefault="007E776A" w:rsidP="007E776A">
      <w:pPr>
        <w:jc w:val="center"/>
        <w:rPr>
          <w:rFonts w:ascii="Arial" w:eastAsia="Times New Roman" w:hAnsi="Arial" w:cs="Arial"/>
          <w:b/>
          <w:sz w:val="28"/>
          <w:szCs w:val="28"/>
        </w:rPr>
      </w:pPr>
      <w:r w:rsidRPr="007E776A">
        <w:rPr>
          <w:rFonts w:ascii="Arial" w:eastAsia="Times New Roman" w:hAnsi="Arial" w:cs="Arial"/>
          <w:b/>
          <w:sz w:val="28"/>
          <w:szCs w:val="28"/>
        </w:rPr>
        <w:t xml:space="preserve">Moore Industries Enhances TCS Temperature Concentrator System with Ethernet Integration for Increased Measurement </w:t>
      </w:r>
      <w:r>
        <w:rPr>
          <w:rFonts w:ascii="Arial" w:eastAsia="Times New Roman" w:hAnsi="Arial" w:cs="Arial"/>
          <w:b/>
          <w:sz w:val="28"/>
          <w:szCs w:val="28"/>
        </w:rPr>
        <w:t>Efficiency</w:t>
      </w:r>
    </w:p>
    <w:p w14:paraId="75D7C8E3" w14:textId="4797110F" w:rsidR="008F22DC" w:rsidRDefault="008F22DC" w:rsidP="008F22DC">
      <w:pPr>
        <w:rPr>
          <w:rFonts w:ascii="Arial" w:eastAsia="Times New Roman" w:hAnsi="Arial" w:cs="Arial"/>
        </w:rPr>
      </w:pPr>
      <w:r w:rsidRPr="005830BD">
        <w:rPr>
          <w:rFonts w:ascii="Arial" w:eastAsia="Times New Roman" w:hAnsi="Arial" w:cs="Arial"/>
        </w:rPr>
        <w:t>NORTH HILLS, CALIF., –</w:t>
      </w:r>
      <w:r>
        <w:rPr>
          <w:rFonts w:ascii="Arial" w:eastAsia="Times New Roman" w:hAnsi="Arial" w:cs="Arial"/>
        </w:rPr>
        <w:t xml:space="preserve"> </w:t>
      </w:r>
      <w:r w:rsidR="00187D44">
        <w:rPr>
          <w:rFonts w:ascii="Arial" w:eastAsia="Times New Roman" w:hAnsi="Arial" w:cs="Arial"/>
        </w:rPr>
        <w:t>June 1</w:t>
      </w:r>
      <w:r w:rsidR="009F4D9E">
        <w:rPr>
          <w:rFonts w:ascii="Arial" w:eastAsia="Times New Roman" w:hAnsi="Arial" w:cs="Arial"/>
        </w:rPr>
        <w:t>8</w:t>
      </w:r>
      <w:r w:rsidR="00187D44">
        <w:rPr>
          <w:rFonts w:ascii="Arial" w:eastAsia="Times New Roman" w:hAnsi="Arial" w:cs="Arial"/>
        </w:rPr>
        <w:t>, 2024</w:t>
      </w:r>
      <w:r>
        <w:rPr>
          <w:rFonts w:ascii="Arial" w:eastAsia="Times New Roman" w:hAnsi="Arial" w:cs="Arial"/>
        </w:rPr>
        <w:t xml:space="preserve"> – </w:t>
      </w:r>
      <w:r w:rsidR="00010D2D">
        <w:rPr>
          <w:rFonts w:ascii="Arial" w:eastAsia="Times New Roman" w:hAnsi="Arial" w:cs="Arial"/>
        </w:rPr>
        <w:t>Moore Industries</w:t>
      </w:r>
      <w:r w:rsidR="00E717FB">
        <w:rPr>
          <w:rFonts w:ascii="Arial" w:eastAsia="Times New Roman" w:hAnsi="Arial" w:cs="Arial"/>
        </w:rPr>
        <w:t xml:space="preserve"> has released</w:t>
      </w:r>
      <w:r w:rsidR="00010D2D">
        <w:rPr>
          <w:rFonts w:ascii="Arial" w:eastAsia="Times New Roman" w:hAnsi="Arial" w:cs="Arial"/>
        </w:rPr>
        <w:t xml:space="preserve"> a significant product update to the TCS Temperature Concentrator System. The TCS originally consisted of the TCM Temperature Concentrator Module and the HMC HART</w:t>
      </w:r>
      <w:r w:rsidR="00E00CF9">
        <w:rPr>
          <w:rFonts w:ascii="Arial" w:eastAsia="Times New Roman" w:hAnsi="Arial" w:cs="Arial"/>
        </w:rPr>
        <w:t xml:space="preserve">® </w:t>
      </w:r>
      <w:r w:rsidR="00010D2D">
        <w:rPr>
          <w:rFonts w:ascii="Arial" w:eastAsia="Times New Roman" w:hAnsi="Arial" w:cs="Arial"/>
        </w:rPr>
        <w:t>-to-MODBUS</w:t>
      </w:r>
      <w:r w:rsidR="00E717FB">
        <w:rPr>
          <w:rFonts w:ascii="Arial" w:eastAsia="Times New Roman" w:hAnsi="Arial" w:cs="Arial"/>
        </w:rPr>
        <w:t xml:space="preserve"> RTU</w:t>
      </w:r>
      <w:r w:rsidR="00010D2D">
        <w:rPr>
          <w:rFonts w:ascii="Arial" w:eastAsia="Times New Roman" w:hAnsi="Arial" w:cs="Arial"/>
        </w:rPr>
        <w:t xml:space="preserve"> Converter, which work together to reduce the cost of transmitting multiple temperature sensor measurements in both general-purpose and hazardous area applications by concentrating </w:t>
      </w:r>
      <w:r w:rsidR="0078206A">
        <w:rPr>
          <w:rFonts w:ascii="Arial" w:eastAsia="Times New Roman" w:hAnsi="Arial" w:cs="Arial"/>
        </w:rPr>
        <w:t xml:space="preserve">and transmitting </w:t>
      </w:r>
      <w:r w:rsidR="00010D2D">
        <w:rPr>
          <w:rFonts w:ascii="Arial" w:eastAsia="Times New Roman" w:hAnsi="Arial" w:cs="Arial"/>
        </w:rPr>
        <w:t xml:space="preserve">up to 32 signals </w:t>
      </w:r>
      <w:r w:rsidR="0078206A">
        <w:rPr>
          <w:rFonts w:ascii="Arial" w:eastAsia="Times New Roman" w:hAnsi="Arial" w:cs="Arial"/>
        </w:rPr>
        <w:t>over</w:t>
      </w:r>
      <w:r w:rsidR="00010D2D">
        <w:rPr>
          <w:rFonts w:ascii="Arial" w:eastAsia="Times New Roman" w:hAnsi="Arial" w:cs="Arial"/>
        </w:rPr>
        <w:t xml:space="preserve"> one </w:t>
      </w:r>
      <w:r w:rsidR="0078206A">
        <w:rPr>
          <w:rFonts w:ascii="Arial" w:eastAsia="Times New Roman" w:hAnsi="Arial" w:cs="Arial"/>
        </w:rPr>
        <w:t xml:space="preserve">MODBUS RTU based </w:t>
      </w:r>
      <w:r w:rsidR="00010D2D">
        <w:rPr>
          <w:rFonts w:ascii="Arial" w:eastAsia="Times New Roman" w:hAnsi="Arial" w:cs="Arial"/>
        </w:rPr>
        <w:t>network.</w:t>
      </w:r>
    </w:p>
    <w:p w14:paraId="0B9EE292" w14:textId="6DBAB70E" w:rsidR="005D2502" w:rsidRDefault="005D2502" w:rsidP="000C0F0A">
      <w:pPr>
        <w:rPr>
          <w:rFonts w:ascii="Arial" w:eastAsia="Times New Roman" w:hAnsi="Arial" w:cs="Arial"/>
        </w:rPr>
      </w:pPr>
      <w:r>
        <w:rPr>
          <w:rFonts w:ascii="Arial" w:eastAsia="Times New Roman" w:hAnsi="Arial" w:cs="Arial"/>
        </w:rPr>
        <w:t xml:space="preserve">The latest product update to the TCS enables </w:t>
      </w:r>
      <w:r w:rsidR="00860EF7">
        <w:rPr>
          <w:rFonts w:ascii="Arial" w:eastAsia="Times New Roman" w:hAnsi="Arial" w:cs="Arial"/>
        </w:rPr>
        <w:t xml:space="preserve">a </w:t>
      </w:r>
      <w:r>
        <w:rPr>
          <w:rFonts w:ascii="Arial" w:eastAsia="Times New Roman" w:hAnsi="Arial" w:cs="Arial"/>
        </w:rPr>
        <w:t xml:space="preserve">HES HART-to-Ethernet Gateway System to be used </w:t>
      </w:r>
      <w:r w:rsidR="00E717FB">
        <w:rPr>
          <w:rFonts w:ascii="Arial" w:eastAsia="Times New Roman" w:hAnsi="Arial" w:cs="Arial"/>
        </w:rPr>
        <w:t xml:space="preserve">with the </w:t>
      </w:r>
      <w:r w:rsidR="000F3D03">
        <w:rPr>
          <w:rFonts w:ascii="Arial" w:eastAsia="Times New Roman" w:hAnsi="Arial" w:cs="Arial"/>
        </w:rPr>
        <w:t>16-channel</w:t>
      </w:r>
      <w:r w:rsidR="00E717FB">
        <w:rPr>
          <w:rFonts w:ascii="Arial" w:eastAsia="Times New Roman" w:hAnsi="Arial" w:cs="Arial"/>
        </w:rPr>
        <w:t xml:space="preserve"> TCM</w:t>
      </w:r>
      <w:r w:rsidR="00801938">
        <w:rPr>
          <w:rFonts w:ascii="Arial" w:eastAsia="Times New Roman" w:hAnsi="Arial" w:cs="Arial"/>
        </w:rPr>
        <w:t xml:space="preserve"> Temperature Concentrator Modules</w:t>
      </w:r>
      <w:r>
        <w:rPr>
          <w:rFonts w:ascii="Arial" w:eastAsia="Times New Roman" w:hAnsi="Arial" w:cs="Arial"/>
        </w:rPr>
        <w:t>, allowing for Ethernet-based communication with the TCS</w:t>
      </w:r>
      <w:r w:rsidR="0004479F">
        <w:rPr>
          <w:rFonts w:ascii="Arial" w:eastAsia="Times New Roman" w:hAnsi="Arial" w:cs="Arial"/>
        </w:rPr>
        <w:t>.</w:t>
      </w:r>
      <w:r>
        <w:rPr>
          <w:rFonts w:ascii="Arial" w:eastAsia="Times New Roman" w:hAnsi="Arial" w:cs="Arial"/>
        </w:rPr>
        <w:t xml:space="preserve"> The HES is available in a single-channel or 4-channel </w:t>
      </w:r>
      <w:r w:rsidR="00D87BBA">
        <w:rPr>
          <w:rFonts w:ascii="Arial" w:eastAsia="Times New Roman" w:hAnsi="Arial" w:cs="Arial"/>
        </w:rPr>
        <w:t>model</w:t>
      </w:r>
      <w:r>
        <w:rPr>
          <w:rFonts w:ascii="Arial" w:eastAsia="Times New Roman" w:hAnsi="Arial" w:cs="Arial"/>
        </w:rPr>
        <w:t xml:space="preserve"> and can connect </w:t>
      </w:r>
      <w:r w:rsidR="00341338">
        <w:rPr>
          <w:rFonts w:ascii="Arial" w:eastAsia="Times New Roman" w:hAnsi="Arial" w:cs="Arial"/>
        </w:rPr>
        <w:t xml:space="preserve">with </w:t>
      </w:r>
      <w:r>
        <w:rPr>
          <w:rFonts w:ascii="Arial" w:eastAsia="Times New Roman" w:hAnsi="Arial" w:cs="Arial"/>
        </w:rPr>
        <w:t xml:space="preserve">up to two TCMs per channel, allowing up to </w:t>
      </w:r>
      <w:r w:rsidR="0004479F">
        <w:rPr>
          <w:rFonts w:ascii="Arial" w:eastAsia="Times New Roman" w:hAnsi="Arial" w:cs="Arial"/>
        </w:rPr>
        <w:t>eight</w:t>
      </w:r>
      <w:r>
        <w:rPr>
          <w:rFonts w:ascii="Arial" w:eastAsia="Times New Roman" w:hAnsi="Arial" w:cs="Arial"/>
        </w:rPr>
        <w:t xml:space="preserve"> TCMs to communicate with one HES. This allows 128 different temperature signals to flow over </w:t>
      </w:r>
      <w:r w:rsidR="000E0870">
        <w:rPr>
          <w:rFonts w:ascii="Arial" w:eastAsia="Times New Roman" w:hAnsi="Arial" w:cs="Arial"/>
        </w:rPr>
        <w:t xml:space="preserve">an </w:t>
      </w:r>
      <w:r w:rsidR="00341338">
        <w:rPr>
          <w:rFonts w:ascii="Arial" w:eastAsia="Times New Roman" w:hAnsi="Arial" w:cs="Arial"/>
        </w:rPr>
        <w:t>Ethernet link</w:t>
      </w:r>
      <w:r>
        <w:rPr>
          <w:rFonts w:ascii="Arial" w:eastAsia="Times New Roman" w:hAnsi="Arial" w:cs="Arial"/>
        </w:rPr>
        <w:t xml:space="preserve"> from the field to </w:t>
      </w:r>
      <w:r w:rsidR="000E0870">
        <w:rPr>
          <w:rFonts w:ascii="Arial" w:eastAsia="Times New Roman" w:hAnsi="Arial" w:cs="Arial"/>
        </w:rPr>
        <w:t xml:space="preserve">a </w:t>
      </w:r>
      <w:r>
        <w:rPr>
          <w:rFonts w:ascii="Arial" w:eastAsia="Times New Roman" w:hAnsi="Arial" w:cs="Arial"/>
        </w:rPr>
        <w:t>MODBUS/</w:t>
      </w:r>
      <w:r w:rsidR="000F3D03">
        <w:rPr>
          <w:rFonts w:ascii="Arial" w:eastAsia="Times New Roman" w:hAnsi="Arial" w:cs="Arial"/>
        </w:rPr>
        <w:t>TCP-based</w:t>
      </w:r>
      <w:r w:rsidR="000E0870">
        <w:rPr>
          <w:rFonts w:ascii="Arial" w:eastAsia="Times New Roman" w:hAnsi="Arial" w:cs="Arial"/>
        </w:rPr>
        <w:t xml:space="preserve"> host.</w:t>
      </w:r>
      <w:r>
        <w:rPr>
          <w:rFonts w:ascii="Arial" w:eastAsia="Times New Roman" w:hAnsi="Arial" w:cs="Arial"/>
        </w:rPr>
        <w:t xml:space="preserve"> </w:t>
      </w:r>
      <w:r w:rsidR="001C4C3C">
        <w:rPr>
          <w:rFonts w:ascii="Arial" w:eastAsia="Times New Roman" w:hAnsi="Arial" w:cs="Arial"/>
        </w:rPr>
        <w:t xml:space="preserve">Additionally, these temperature readings can be read by a </w:t>
      </w:r>
      <w:r w:rsidR="007F2494">
        <w:rPr>
          <w:rFonts w:ascii="Arial" w:eastAsia="Times New Roman" w:hAnsi="Arial" w:cs="Arial"/>
        </w:rPr>
        <w:t>HART-IP-based</w:t>
      </w:r>
      <w:r w:rsidR="001C4C3C">
        <w:rPr>
          <w:rFonts w:ascii="Arial" w:eastAsia="Times New Roman" w:hAnsi="Arial" w:cs="Arial"/>
        </w:rPr>
        <w:t xml:space="preserve"> host or viewed with any </w:t>
      </w:r>
      <w:r w:rsidR="00D64BE4">
        <w:rPr>
          <w:rFonts w:ascii="Arial" w:eastAsia="Times New Roman" w:hAnsi="Arial" w:cs="Arial"/>
        </w:rPr>
        <w:t>off-the-shelf</w:t>
      </w:r>
      <w:r w:rsidR="001C4C3C">
        <w:rPr>
          <w:rFonts w:ascii="Arial" w:eastAsia="Times New Roman" w:hAnsi="Arial" w:cs="Arial"/>
        </w:rPr>
        <w:t xml:space="preserve"> web browser since the HES includes an embedded </w:t>
      </w:r>
      <w:r w:rsidR="00D64BE4">
        <w:rPr>
          <w:rFonts w:ascii="Arial" w:eastAsia="Times New Roman" w:hAnsi="Arial" w:cs="Arial"/>
        </w:rPr>
        <w:t>web server</w:t>
      </w:r>
      <w:r w:rsidR="001C4C3C">
        <w:rPr>
          <w:rFonts w:ascii="Arial" w:eastAsia="Times New Roman" w:hAnsi="Arial" w:cs="Arial"/>
        </w:rPr>
        <w:t xml:space="preserve">. </w:t>
      </w:r>
      <w:r>
        <w:rPr>
          <w:rFonts w:ascii="Arial" w:eastAsia="Times New Roman" w:hAnsi="Arial" w:cs="Arial"/>
        </w:rPr>
        <w:t xml:space="preserve">Unlike the HMC, the HES can communicate with up to sixteen HART devices per channel. Each 16-channel TCM is considered one HART device, so if two TCMs are connected on a particular HES channel, 14 </w:t>
      </w:r>
      <w:r w:rsidR="006B6E63">
        <w:rPr>
          <w:rFonts w:ascii="Arial" w:eastAsia="Times New Roman" w:hAnsi="Arial" w:cs="Arial"/>
        </w:rPr>
        <w:t xml:space="preserve">additional HART </w:t>
      </w:r>
      <w:r>
        <w:rPr>
          <w:rFonts w:ascii="Arial" w:eastAsia="Times New Roman" w:hAnsi="Arial" w:cs="Arial"/>
        </w:rPr>
        <w:t>devices can still be connected to the channel along with the TCMs.</w:t>
      </w:r>
    </w:p>
    <w:p w14:paraId="6BD11DCB" w14:textId="7AC52581" w:rsidR="005D2502" w:rsidRDefault="005D2502" w:rsidP="000C0F0A">
      <w:pPr>
        <w:rPr>
          <w:rFonts w:ascii="Arial" w:eastAsia="Times New Roman" w:hAnsi="Arial" w:cs="Arial"/>
        </w:rPr>
      </w:pPr>
      <w:r>
        <w:rPr>
          <w:rFonts w:ascii="Arial" w:eastAsia="Times New Roman" w:hAnsi="Arial" w:cs="Arial"/>
        </w:rPr>
        <w:t xml:space="preserve">The TCM </w:t>
      </w:r>
      <w:r w:rsidR="00E848AF">
        <w:rPr>
          <w:rFonts w:ascii="Arial" w:eastAsia="Times New Roman" w:hAnsi="Arial" w:cs="Arial"/>
        </w:rPr>
        <w:t xml:space="preserve">Temperature Concentrator Module </w:t>
      </w:r>
      <w:r>
        <w:rPr>
          <w:rFonts w:ascii="Arial" w:eastAsia="Times New Roman" w:hAnsi="Arial" w:cs="Arial"/>
        </w:rPr>
        <w:t xml:space="preserve">converts </w:t>
      </w:r>
      <w:r w:rsidR="006B6E63">
        <w:rPr>
          <w:rFonts w:ascii="Arial" w:eastAsia="Times New Roman" w:hAnsi="Arial" w:cs="Arial"/>
        </w:rPr>
        <w:t xml:space="preserve">its </w:t>
      </w:r>
      <w:r>
        <w:rPr>
          <w:rFonts w:ascii="Arial" w:eastAsia="Times New Roman" w:hAnsi="Arial" w:cs="Arial"/>
        </w:rPr>
        <w:t>signal inputs to standard HART protocol, which allows the HES to poll each TCM using a device-specific HART command. This device-specific command enables the TCM to send all 16 channel values in one HART message packet, thus increasing throughput and response time.</w:t>
      </w:r>
    </w:p>
    <w:p w14:paraId="3299C35A" w14:textId="01BDA82F" w:rsidR="007E776A" w:rsidRDefault="007E776A" w:rsidP="008F22DC">
      <w:pPr>
        <w:rPr>
          <w:rFonts w:ascii="Arial" w:eastAsia="Times New Roman" w:hAnsi="Arial" w:cs="Arial"/>
        </w:rPr>
      </w:pPr>
      <w:r>
        <w:rPr>
          <w:rFonts w:ascii="Arial" w:eastAsia="Times New Roman" w:hAnsi="Arial" w:cs="Arial"/>
        </w:rPr>
        <w:t xml:space="preserve">The TCS system significantly reduces the cost of transmitting multiple temperature sensor measurements in both general-purpose and hazardous areas. TCM module, equipped with 16 I/O channels, can be configured for various input </w:t>
      </w:r>
      <w:r w:rsidR="00F34407">
        <w:rPr>
          <w:rFonts w:ascii="Arial" w:eastAsia="Times New Roman" w:hAnsi="Arial" w:cs="Arial"/>
        </w:rPr>
        <w:t>types</w:t>
      </w:r>
      <w:r>
        <w:rPr>
          <w:rFonts w:ascii="Arial" w:eastAsia="Times New Roman" w:hAnsi="Arial" w:cs="Arial"/>
        </w:rPr>
        <w:t xml:space="preserve"> and converts them to the HART® digital protocol for long-distance transmission to </w:t>
      </w:r>
      <w:r w:rsidR="00566006">
        <w:rPr>
          <w:rFonts w:ascii="Arial" w:eastAsia="Times New Roman" w:hAnsi="Arial" w:cs="Arial"/>
        </w:rPr>
        <w:t>a HES, HCS</w:t>
      </w:r>
      <w:r w:rsidR="007F2494">
        <w:rPr>
          <w:rFonts w:ascii="Arial" w:eastAsia="Times New Roman" w:hAnsi="Arial" w:cs="Arial"/>
        </w:rPr>
        <w:t>,</w:t>
      </w:r>
      <w:r w:rsidR="00566006">
        <w:rPr>
          <w:rFonts w:ascii="Arial" w:eastAsia="Times New Roman" w:hAnsi="Arial" w:cs="Arial"/>
        </w:rPr>
        <w:t xml:space="preserve"> or </w:t>
      </w:r>
      <w:r w:rsidR="00F34407">
        <w:rPr>
          <w:rFonts w:ascii="Arial" w:eastAsia="Times New Roman" w:hAnsi="Arial" w:cs="Arial"/>
        </w:rPr>
        <w:t>HART-based</w:t>
      </w:r>
      <w:r w:rsidR="00566006">
        <w:rPr>
          <w:rFonts w:ascii="Arial" w:eastAsia="Times New Roman" w:hAnsi="Arial" w:cs="Arial"/>
        </w:rPr>
        <w:t xml:space="preserve"> host.</w:t>
      </w:r>
      <w:r>
        <w:rPr>
          <w:rFonts w:ascii="Arial" w:eastAsia="Times New Roman" w:hAnsi="Arial" w:cs="Arial"/>
        </w:rPr>
        <w:t xml:space="preserve"> The TCS </w:t>
      </w:r>
      <w:r w:rsidR="00566006">
        <w:rPr>
          <w:rFonts w:ascii="Arial" w:eastAsia="Times New Roman" w:hAnsi="Arial" w:cs="Arial"/>
        </w:rPr>
        <w:t>Temperature Concentrator System</w:t>
      </w:r>
      <w:r>
        <w:rPr>
          <w:rFonts w:ascii="Arial" w:eastAsia="Times New Roman" w:hAnsi="Arial" w:cs="Arial"/>
        </w:rPr>
        <w:t xml:space="preserve"> supports HART, MODBUS RTU, MODBUS/TCP, and HART-IP communications, allowing seamless integration with various </w:t>
      </w:r>
      <w:r w:rsidR="00645C3C">
        <w:rPr>
          <w:rFonts w:ascii="Arial" w:eastAsia="Times New Roman" w:hAnsi="Arial" w:cs="Arial"/>
        </w:rPr>
        <w:t xml:space="preserve">monitoring and </w:t>
      </w:r>
      <w:r>
        <w:rPr>
          <w:rFonts w:ascii="Arial" w:eastAsia="Times New Roman" w:hAnsi="Arial" w:cs="Arial"/>
        </w:rPr>
        <w:t xml:space="preserve">control systems. It is intrinsically safe </w:t>
      </w:r>
      <w:r w:rsidR="00645C3C">
        <w:rPr>
          <w:rFonts w:ascii="Arial" w:eastAsia="Times New Roman" w:hAnsi="Arial" w:cs="Arial"/>
        </w:rPr>
        <w:t xml:space="preserve">approved </w:t>
      </w:r>
      <w:r>
        <w:rPr>
          <w:rFonts w:ascii="Arial" w:eastAsia="Times New Roman" w:hAnsi="Arial" w:cs="Arial"/>
        </w:rPr>
        <w:t xml:space="preserve">for </w:t>
      </w:r>
      <w:r w:rsidR="00645C3C">
        <w:rPr>
          <w:rFonts w:ascii="Arial" w:eastAsia="Times New Roman" w:hAnsi="Arial" w:cs="Arial"/>
        </w:rPr>
        <w:t xml:space="preserve">use in </w:t>
      </w:r>
      <w:r>
        <w:rPr>
          <w:rFonts w:ascii="Arial" w:eastAsia="Times New Roman" w:hAnsi="Arial" w:cs="Arial"/>
        </w:rPr>
        <w:t>hazardous areas and enables cost-effective installation by minimizing the need for dedicated transmitters and wiring.</w:t>
      </w:r>
    </w:p>
    <w:p w14:paraId="3EDE4A66" w14:textId="7448A43E" w:rsidR="00F34407" w:rsidRDefault="008F22DC" w:rsidP="008F22DC">
      <w:pPr>
        <w:rPr>
          <w:rFonts w:ascii="Arial" w:eastAsia="Times New Roman" w:hAnsi="Arial" w:cs="Arial"/>
        </w:rPr>
      </w:pPr>
      <w:r w:rsidRPr="00AB6186">
        <w:rPr>
          <w:rFonts w:ascii="Arial" w:eastAsia="Times New Roman" w:hAnsi="Arial" w:cs="Arial"/>
        </w:rPr>
        <w:t xml:space="preserve">To see all </w:t>
      </w:r>
      <w:r w:rsidR="000F4635">
        <w:rPr>
          <w:rFonts w:ascii="Arial" w:eastAsia="Times New Roman" w:hAnsi="Arial" w:cs="Arial"/>
        </w:rPr>
        <w:t>TCS</w:t>
      </w:r>
      <w:r>
        <w:rPr>
          <w:rFonts w:ascii="Arial" w:eastAsia="Times New Roman" w:hAnsi="Arial" w:cs="Arial"/>
        </w:rPr>
        <w:t xml:space="preserve"> </w:t>
      </w:r>
      <w:r w:rsidRPr="00AB6186">
        <w:rPr>
          <w:rFonts w:ascii="Arial" w:eastAsia="Times New Roman" w:hAnsi="Arial" w:cs="Arial"/>
        </w:rPr>
        <w:t xml:space="preserve">product details </w:t>
      </w:r>
      <w:r>
        <w:rPr>
          <w:rFonts w:ascii="Arial" w:eastAsia="Times New Roman" w:hAnsi="Arial" w:cs="Arial"/>
        </w:rPr>
        <w:t>read and download</w:t>
      </w:r>
      <w:r w:rsidRPr="00AB6186">
        <w:rPr>
          <w:rFonts w:ascii="Arial" w:eastAsia="Times New Roman" w:hAnsi="Arial" w:cs="Arial"/>
        </w:rPr>
        <w:t xml:space="preserve"> the datasheet </w:t>
      </w:r>
      <w:hyperlink r:id="rId7" w:history="1">
        <w:r w:rsidRPr="003532B6">
          <w:rPr>
            <w:rStyle w:val="Hyperlink"/>
            <w:rFonts w:ascii="Arial" w:eastAsia="Times New Roman" w:hAnsi="Arial" w:cs="Arial"/>
          </w:rPr>
          <w:t>here</w:t>
        </w:r>
        <w:r w:rsidR="003532B6" w:rsidRPr="003532B6">
          <w:rPr>
            <w:rStyle w:val="Hyperlink"/>
            <w:rFonts w:ascii="Arial" w:eastAsia="Times New Roman" w:hAnsi="Arial" w:cs="Arial"/>
          </w:rPr>
          <w:t>.</w:t>
        </w:r>
      </w:hyperlink>
    </w:p>
    <w:p w14:paraId="50440449" w14:textId="77777777" w:rsidR="0096395F" w:rsidRDefault="0096395F" w:rsidP="00F34407">
      <w:pPr>
        <w:rPr>
          <w:rFonts w:ascii="Arial" w:eastAsia="Times New Roman" w:hAnsi="Arial" w:cs="Arial"/>
          <w:b/>
        </w:rPr>
      </w:pPr>
    </w:p>
    <w:p w14:paraId="7DF8B56F" w14:textId="0B36CC30" w:rsidR="008F22DC" w:rsidRPr="006369D3" w:rsidRDefault="008F22DC" w:rsidP="00F34407">
      <w:pPr>
        <w:rPr>
          <w:rFonts w:ascii="Arial" w:eastAsia="Times New Roman" w:hAnsi="Arial" w:cs="Arial"/>
          <w:b/>
        </w:rPr>
      </w:pPr>
      <w:r w:rsidRPr="006369D3">
        <w:rPr>
          <w:rFonts w:ascii="Arial" w:eastAsia="Times New Roman" w:hAnsi="Arial" w:cs="Arial"/>
          <w:b/>
        </w:rPr>
        <w:lastRenderedPageBreak/>
        <w:t>About Moore Industries-International, Inc.:</w:t>
      </w:r>
    </w:p>
    <w:p w14:paraId="4955706A" w14:textId="77777777" w:rsidR="008F22DC" w:rsidRPr="006369D3" w:rsidRDefault="008F22DC" w:rsidP="008F22DC">
      <w:pPr>
        <w:spacing w:after="0" w:line="240" w:lineRule="auto"/>
        <w:rPr>
          <w:rFonts w:ascii="Arial" w:eastAsia="Times New Roman" w:hAnsi="Arial" w:cs="Arial"/>
          <w:b/>
        </w:rPr>
      </w:pPr>
    </w:p>
    <w:p w14:paraId="1748BDD3" w14:textId="6E63B811" w:rsidR="000B01E2" w:rsidRPr="008F22DC" w:rsidRDefault="008F22DC" w:rsidP="008F22DC">
      <w:pPr>
        <w:spacing w:after="0" w:line="240" w:lineRule="auto"/>
        <w:rPr>
          <w:rFonts w:ascii="Arial" w:eastAsia="Times New Roman" w:hAnsi="Arial" w:cs="Arial"/>
        </w:rPr>
      </w:pPr>
      <w:r w:rsidRPr="006369D3">
        <w:rPr>
          <w:rFonts w:ascii="Arial" w:eastAsia="Times New Roman" w:hAnsi="Arial" w:cs="Arial"/>
        </w:rPr>
        <w:t xml:space="preserve">Based in North Hills, CA, Moore Industries is a world leader in </w:t>
      </w:r>
      <w:r>
        <w:rPr>
          <w:rFonts w:ascii="Arial" w:eastAsia="Times New Roman" w:hAnsi="Arial" w:cs="Arial"/>
        </w:rPr>
        <w:t>designing and manufacturing</w:t>
      </w:r>
      <w:r w:rsidRPr="006369D3">
        <w:rPr>
          <w:rFonts w:ascii="Arial" w:eastAsia="Times New Roman" w:hAnsi="Arial" w:cs="Arial"/>
        </w:rPr>
        <w:t xml:space="preserve"> rail, panel, and field instruments for industrial process control and monitoring, system integration, and factory automation. The company has direct sales offices in the United States and additional strategic 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For more information on Moore Industries, visit </w:t>
      </w:r>
      <w:hyperlink r:id="rId8" w:history="1">
        <w:r w:rsidRPr="006369D3">
          <w:rPr>
            <w:rFonts w:ascii="Arial" w:eastAsia="Times New Roman" w:hAnsi="Arial" w:cs="Arial"/>
            <w:color w:val="0000FF"/>
            <w:u w:val="single"/>
          </w:rPr>
          <w:t>www.miinet.com</w:t>
        </w:r>
      </w:hyperlink>
      <w:r w:rsidRPr="006369D3">
        <w:rPr>
          <w:rFonts w:ascii="Arial" w:eastAsia="Times New Roman" w:hAnsi="Arial" w:cs="Arial"/>
        </w:rPr>
        <w:t>.</w:t>
      </w:r>
    </w:p>
    <w:sectPr w:rsidR="000B01E2" w:rsidRPr="008F22DC" w:rsidSect="008F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C"/>
    <w:rsid w:val="00010D2D"/>
    <w:rsid w:val="00037EEE"/>
    <w:rsid w:val="0004479F"/>
    <w:rsid w:val="000B01E2"/>
    <w:rsid w:val="000C0F0A"/>
    <w:rsid w:val="000E0870"/>
    <w:rsid w:val="000F3D03"/>
    <w:rsid w:val="000F4635"/>
    <w:rsid w:val="0016494D"/>
    <w:rsid w:val="00174DFC"/>
    <w:rsid w:val="00187D44"/>
    <w:rsid w:val="001A411F"/>
    <w:rsid w:val="001C4C3C"/>
    <w:rsid w:val="00341338"/>
    <w:rsid w:val="003532B6"/>
    <w:rsid w:val="00407EC4"/>
    <w:rsid w:val="004A0D2E"/>
    <w:rsid w:val="004A2477"/>
    <w:rsid w:val="005000DB"/>
    <w:rsid w:val="00566006"/>
    <w:rsid w:val="005757B1"/>
    <w:rsid w:val="005A35BE"/>
    <w:rsid w:val="005D2502"/>
    <w:rsid w:val="00645C3C"/>
    <w:rsid w:val="006B6E63"/>
    <w:rsid w:val="00722D4A"/>
    <w:rsid w:val="00731B97"/>
    <w:rsid w:val="0078206A"/>
    <w:rsid w:val="007E776A"/>
    <w:rsid w:val="007F2494"/>
    <w:rsid w:val="00801938"/>
    <w:rsid w:val="00837617"/>
    <w:rsid w:val="00860EF7"/>
    <w:rsid w:val="008F22DC"/>
    <w:rsid w:val="0096395F"/>
    <w:rsid w:val="009F4D9E"/>
    <w:rsid w:val="00BD0466"/>
    <w:rsid w:val="00D046C9"/>
    <w:rsid w:val="00D15884"/>
    <w:rsid w:val="00D64BE4"/>
    <w:rsid w:val="00D87BBA"/>
    <w:rsid w:val="00D903D3"/>
    <w:rsid w:val="00DD323D"/>
    <w:rsid w:val="00E00CF9"/>
    <w:rsid w:val="00E717FB"/>
    <w:rsid w:val="00E848AF"/>
    <w:rsid w:val="00F0046F"/>
    <w:rsid w:val="00F106C8"/>
    <w:rsid w:val="00F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E6149"/>
  <w15:chartTrackingRefBased/>
  <w15:docId w15:val="{9B9B5744-1F01-42A8-A71D-1C9AC060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DC"/>
    <w:rPr>
      <w:kern w:val="0"/>
      <w14:ligatures w14:val="none"/>
    </w:rPr>
  </w:style>
  <w:style w:type="paragraph" w:styleId="Heading1">
    <w:name w:val="heading 1"/>
    <w:basedOn w:val="Normal"/>
    <w:next w:val="Normal"/>
    <w:link w:val="Heading1Char"/>
    <w:uiPriority w:val="9"/>
    <w:qFormat/>
    <w:rsid w:val="008F22D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22D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22D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22D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22D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22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22D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22D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22D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2DC"/>
    <w:rPr>
      <w:rFonts w:eastAsiaTheme="majorEastAsia" w:cstheme="majorBidi"/>
      <w:color w:val="272727" w:themeColor="text1" w:themeTint="D8"/>
    </w:rPr>
  </w:style>
  <w:style w:type="paragraph" w:styleId="Title">
    <w:name w:val="Title"/>
    <w:basedOn w:val="Normal"/>
    <w:next w:val="Normal"/>
    <w:link w:val="TitleChar"/>
    <w:uiPriority w:val="10"/>
    <w:qFormat/>
    <w:rsid w:val="008F22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2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2D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F22DC"/>
    <w:rPr>
      <w:i/>
      <w:iCs/>
      <w:color w:val="404040" w:themeColor="text1" w:themeTint="BF"/>
    </w:rPr>
  </w:style>
  <w:style w:type="paragraph" w:styleId="ListParagraph">
    <w:name w:val="List Paragraph"/>
    <w:basedOn w:val="Normal"/>
    <w:uiPriority w:val="34"/>
    <w:qFormat/>
    <w:rsid w:val="008F22DC"/>
    <w:pPr>
      <w:ind w:left="720"/>
      <w:contextualSpacing/>
    </w:pPr>
    <w:rPr>
      <w:kern w:val="2"/>
      <w14:ligatures w14:val="standardContextual"/>
    </w:rPr>
  </w:style>
  <w:style w:type="character" w:styleId="IntenseEmphasis">
    <w:name w:val="Intense Emphasis"/>
    <w:basedOn w:val="DefaultParagraphFont"/>
    <w:uiPriority w:val="21"/>
    <w:qFormat/>
    <w:rsid w:val="008F22DC"/>
    <w:rPr>
      <w:i/>
      <w:iCs/>
      <w:color w:val="0F4761" w:themeColor="accent1" w:themeShade="BF"/>
    </w:rPr>
  </w:style>
  <w:style w:type="paragraph" w:styleId="IntenseQuote">
    <w:name w:val="Intense Quote"/>
    <w:basedOn w:val="Normal"/>
    <w:next w:val="Normal"/>
    <w:link w:val="IntenseQuoteChar"/>
    <w:uiPriority w:val="30"/>
    <w:qFormat/>
    <w:rsid w:val="008F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22DC"/>
    <w:rPr>
      <w:i/>
      <w:iCs/>
      <w:color w:val="0F4761" w:themeColor="accent1" w:themeShade="BF"/>
    </w:rPr>
  </w:style>
  <w:style w:type="character" w:styleId="IntenseReference">
    <w:name w:val="Intense Reference"/>
    <w:basedOn w:val="DefaultParagraphFont"/>
    <w:uiPriority w:val="32"/>
    <w:qFormat/>
    <w:rsid w:val="008F22DC"/>
    <w:rPr>
      <w:b/>
      <w:bCs/>
      <w:smallCaps/>
      <w:color w:val="0F4761" w:themeColor="accent1" w:themeShade="BF"/>
      <w:spacing w:val="5"/>
    </w:rPr>
  </w:style>
  <w:style w:type="character" w:styleId="Hyperlink">
    <w:name w:val="Hyperlink"/>
    <w:basedOn w:val="DefaultParagraphFont"/>
    <w:uiPriority w:val="99"/>
    <w:unhideWhenUsed/>
    <w:rsid w:val="003532B6"/>
    <w:rPr>
      <w:color w:val="467886" w:themeColor="hyperlink"/>
      <w:u w:val="single"/>
    </w:rPr>
  </w:style>
  <w:style w:type="character" w:styleId="UnresolvedMention">
    <w:name w:val="Unresolved Mention"/>
    <w:basedOn w:val="DefaultParagraphFont"/>
    <w:uiPriority w:val="99"/>
    <w:semiHidden/>
    <w:unhideWhenUsed/>
    <w:rsid w:val="003532B6"/>
    <w:rPr>
      <w:color w:val="605E5C"/>
      <w:shd w:val="clear" w:color="auto" w:fill="E1DFDD"/>
    </w:rPr>
  </w:style>
  <w:style w:type="character" w:styleId="FollowedHyperlink">
    <w:name w:val="FollowedHyperlink"/>
    <w:basedOn w:val="DefaultParagraphFont"/>
    <w:uiPriority w:val="99"/>
    <w:semiHidden/>
    <w:unhideWhenUsed/>
    <w:rsid w:val="000F4635"/>
    <w:rPr>
      <w:color w:val="96607D" w:themeColor="followedHyperlink"/>
      <w:u w:val="single"/>
    </w:rPr>
  </w:style>
  <w:style w:type="paragraph" w:styleId="Revision">
    <w:name w:val="Revision"/>
    <w:hidden/>
    <w:uiPriority w:val="99"/>
    <w:semiHidden/>
    <w:rsid w:val="00E717FB"/>
    <w:pPr>
      <w:spacing w:after="0" w:line="240" w:lineRule="auto"/>
    </w:pPr>
    <w:rPr>
      <w:kern w:val="0"/>
      <w14:ligatures w14:val="none"/>
    </w:rPr>
  </w:style>
  <w:style w:type="character" w:styleId="CommentReference">
    <w:name w:val="annotation reference"/>
    <w:basedOn w:val="DefaultParagraphFont"/>
    <w:uiPriority w:val="99"/>
    <w:semiHidden/>
    <w:unhideWhenUsed/>
    <w:rsid w:val="00D903D3"/>
    <w:rPr>
      <w:sz w:val="16"/>
      <w:szCs w:val="16"/>
    </w:rPr>
  </w:style>
  <w:style w:type="paragraph" w:styleId="CommentText">
    <w:name w:val="annotation text"/>
    <w:basedOn w:val="Normal"/>
    <w:link w:val="CommentTextChar"/>
    <w:uiPriority w:val="99"/>
    <w:unhideWhenUsed/>
    <w:rsid w:val="00D903D3"/>
    <w:pPr>
      <w:spacing w:line="240" w:lineRule="auto"/>
    </w:pPr>
    <w:rPr>
      <w:sz w:val="20"/>
      <w:szCs w:val="20"/>
    </w:rPr>
  </w:style>
  <w:style w:type="character" w:customStyle="1" w:styleId="CommentTextChar">
    <w:name w:val="Comment Text Char"/>
    <w:basedOn w:val="DefaultParagraphFont"/>
    <w:link w:val="CommentText"/>
    <w:uiPriority w:val="99"/>
    <w:rsid w:val="00D903D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903D3"/>
    <w:rPr>
      <w:b/>
      <w:bCs/>
    </w:rPr>
  </w:style>
  <w:style w:type="character" w:customStyle="1" w:styleId="CommentSubjectChar">
    <w:name w:val="Comment Subject Char"/>
    <w:basedOn w:val="CommentTextChar"/>
    <w:link w:val="CommentSubject"/>
    <w:uiPriority w:val="99"/>
    <w:semiHidden/>
    <w:rsid w:val="00D903D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 TargetMode="External"/><Relationship Id="rId3" Type="http://schemas.openxmlformats.org/officeDocument/2006/relationships/webSettings" Target="webSettings.xml"/><Relationship Id="rId7" Type="http://schemas.openxmlformats.org/officeDocument/2006/relationships/hyperlink" Target="https://www.miinet.com/images/pdf/datasheets/TCS_Datasheet_Moore_Industr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odd@miinet.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547</Words>
  <Characters>3259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Burgett</dc:creator>
  <cp:keywords/>
  <dc:description/>
  <cp:lastModifiedBy>Shilton Hasunuma</cp:lastModifiedBy>
  <cp:revision>4</cp:revision>
  <cp:lastPrinted>2024-05-22T14:02:00Z</cp:lastPrinted>
  <dcterms:created xsi:type="dcterms:W3CDTF">2024-05-23T16:34:00Z</dcterms:created>
  <dcterms:modified xsi:type="dcterms:W3CDTF">2024-06-13T17:53:00Z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7ba26f3e-2255-4362-aecf-1c5426c43f54</vt:lpwstr>
  </property>
</Properties>
</file>